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城建易采</w:t>
      </w:r>
      <w:r>
        <w:rPr>
          <w:rFonts w:hint="eastAsia" w:ascii="微软雅黑" w:hAnsi="微软雅黑" w:eastAsia="微软雅黑"/>
          <w:sz w:val="52"/>
          <w:szCs w:val="52"/>
        </w:rPr>
        <w:t>集中</w:t>
      </w:r>
      <w:r>
        <w:rPr>
          <w:rFonts w:ascii="微软雅黑" w:hAnsi="微软雅黑" w:eastAsia="微软雅黑"/>
          <w:sz w:val="52"/>
          <w:szCs w:val="52"/>
        </w:rPr>
        <w:t>采购平台</w:t>
      </w:r>
      <w:r>
        <w:rPr>
          <w:rFonts w:hint="eastAsia" w:ascii="微软雅黑" w:hAnsi="微软雅黑" w:eastAsia="微软雅黑"/>
          <w:sz w:val="52"/>
          <w:szCs w:val="52"/>
        </w:rPr>
        <w:t>操作手册</w:t>
      </w:r>
    </w:p>
    <w:p>
      <w:pPr>
        <w:jc w:val="center"/>
        <w:rPr>
          <w:rFonts w:hint="default" w:ascii="微软雅黑" w:hAnsi="微软雅黑" w:eastAsia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供应</w:t>
      </w:r>
      <w:bookmarkStart w:id="2" w:name="_GoBack"/>
      <w:bookmarkEnd w:id="2"/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商在线投标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广联达</w:t>
      </w:r>
      <w:r>
        <w:rPr>
          <w:rFonts w:ascii="微软雅黑" w:hAnsi="微软雅黑" w:eastAsia="微软雅黑"/>
          <w:sz w:val="24"/>
        </w:rPr>
        <w:t>科技股份有限公司</w:t>
      </w:r>
    </w:p>
    <w:p>
      <w:pPr>
        <w:jc w:val="center"/>
        <w:rPr>
          <w:rFonts w:ascii="微软雅黑" w:hAnsi="微软雅黑" w:eastAsia="微软雅黑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ascii="微软雅黑" w:hAnsi="微软雅黑" w:eastAsia="微软雅黑"/>
          <w:sz w:val="24"/>
        </w:rPr>
        <w:t>201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</w:rPr>
        <w:t>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/>
        <w:jc w:val="left"/>
        <w:textAlignment w:val="auto"/>
        <w:rPr>
          <w:rFonts w:hint="default" w:ascii="微软雅黑" w:hAnsi="微软雅黑" w:eastAsia="微软雅黑"/>
          <w:b w:val="0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b w:val="0"/>
          <w:sz w:val="30"/>
          <w:szCs w:val="30"/>
          <w:lang w:val="en-US" w:eastAsia="zh-CN"/>
        </w:rPr>
        <w:t>一、在线投标</w:t>
      </w:r>
    </w:p>
    <w:p>
      <w:pPr>
        <w:outlineLvl w:val="9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1、操作页面：</w:t>
      </w:r>
      <w:bookmarkStart w:id="0" w:name="_Toc7232"/>
      <w:r>
        <w:rPr>
          <w:rFonts w:hint="eastAsia" w:ascii="微软雅黑" w:hAnsi="微软雅黑" w:eastAsia="微软雅黑"/>
          <w:sz w:val="24"/>
          <w:lang w:val="en-US" w:eastAsia="zh-CN"/>
        </w:rPr>
        <w:t>点击需要报价的招标项目</w:t>
      </w:r>
    </w:p>
    <w:p>
      <w:pPr>
        <w:widowControl/>
        <w:jc w:val="left"/>
        <w:rPr>
          <w:rFonts w:ascii="宋体" w:hAnsi="宋体" w:eastAsia="宋体" w:cs="宋体"/>
          <w:kern w:val="0"/>
        </w:rPr>
      </w:pPr>
      <w:r>
        <w:drawing>
          <wp:inline distT="0" distB="0" distL="114300" distR="114300">
            <wp:extent cx="5271135" cy="2056765"/>
            <wp:effectExtent l="9525" t="9525" r="1524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567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bookmarkStart w:id="1" w:name="_Toc525724645"/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2、签收招标文件</w:t>
      </w:r>
      <w:bookmarkEnd w:id="1"/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：招标文件签收页面如下图，点击右上角签收按钮即可查看完整的招标文件内容。</w:t>
      </w:r>
    </w:p>
    <w:p>
      <w:pPr>
        <w:widowControl/>
        <w:jc w:val="left"/>
        <w:rPr>
          <w:rFonts w:ascii="宋体" w:hAnsi="宋体" w:eastAsia="宋体" w:cs="宋体"/>
          <w:kern w:val="0"/>
        </w:rPr>
      </w:pPr>
      <w:r>
        <w:drawing>
          <wp:inline distT="0" distB="0" distL="114300" distR="114300">
            <wp:extent cx="5266690" cy="1872615"/>
            <wp:effectExtent l="9525" t="9525" r="19685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726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3、投标报价</w:t>
      </w:r>
      <w:bookmarkEnd w:id="0"/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3.1投标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招标文件签收后，认真研读招标文件后进行投标。投标需切换到“投标文件”页签中，页面如下图。</w:t>
      </w:r>
    </w:p>
    <w:p>
      <w:pPr>
        <w:pStyle w:val="8"/>
        <w:ind w:left="0" w:leftChars="0" w:firstLine="0" w:firstLineChars="0"/>
        <w:rPr>
          <w:rFonts w:hint="default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投标时，需输入投标联系人、联系电话、联系邮箱；需通过附件上传投标文件；需在线填写投标清单报价，填写项有：发票类型、含税单价、税率、报价备注。完成之后点击投标。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注意：1、投标截止时间之前可进行多次投标，以最后一次为准。</w:t>
      </w:r>
    </w:p>
    <w:p>
      <w:pPr>
        <w:pStyle w:val="8"/>
        <w:ind w:left="630" w:leftChars="300" w:firstLine="0" w:firstLineChars="0"/>
        <w:rPr>
          <w:rFonts w:hint="default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2、投标有时标包投标，即点击投标时，当前所在标包为标包1时，那么您只投了标包1，如有标包2，那么需要切换到标包2，编辑完报价信息后再一次点击投标。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372100" cy="2600325"/>
            <wp:effectExtent l="9525" t="9525" r="9525" b="19050"/>
            <wp:docPr id="59" name="图片 59" descr="C:\Users\renhq\AppData\Roaming\Tencent\Users\1292685903\QQ\WinTemp\RichOle\7PAN9R5RSY]TK_VV3AK@0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renhq\AppData\Roaming\Tencent\Users\1292685903\QQ\WinTemp\RichOle\7PAN9R5RSY]TK_VV3AK@0T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6888" cy="260253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3.2调价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采购方发起调价（二次报价）后，您将收到调价通知，位置在如图所示。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点击进入需调价的任务中，页面如下图，标包中的温馨提示为“调价中”，此时，您可以对此标包下的招标清单价格进行调整，调整完成后记得点击右上方按钮【投标】。这样，您就完成了二次报价，采购方将收到您调整后的价格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274310" cy="2544445"/>
            <wp:effectExtent l="9525" t="9525" r="12065" b="1778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9"/>
                    <a:srcRect t="1358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4445"/>
                    </a:xfrm>
                    <a:prstGeom prst="rect">
                      <a:avLst/>
                    </a:prstGeom>
                    <a:ln w="3175" cap="sq" cmpd="sng" algn="ctr">
                      <a:solidFill>
                        <a:srgbClr val="0000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3.3招标变更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3.3.1变更内容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当招标内容有所变化时，采购方会通过变更内容的方式发布出来，您可以在下图所示位置进行查看。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266055" cy="1933575"/>
            <wp:effectExtent l="9525" t="9525" r="20320" b="19050"/>
            <wp:docPr id="60" name="图片 60" descr="C:\Users\renhq\AppData\Roaming\Tencent\Users\1292685903\QQ\WinTemp\RichOle\7G[$_7[7072EVLCV_9PQH{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renhq\AppData\Roaming\Tencent\Users\1292685903\QQ\WinTemp\RichOle\7G[$_7[7072EVLCV_9PQH{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727" cy="19429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为了更好服务您进行投标，有变更时，您可以在如图位置收到变更提醒，点击提醒可自动定位到变更所在位置。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3.3.2变更时间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当投标截止时间有所变化时，采购方会通过变更时间的方式发布出来，您可以在下图所示位置进行查看。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266055" cy="1933575"/>
            <wp:effectExtent l="9525" t="9525" r="20320" b="19050"/>
            <wp:docPr id="61" name="图片 61" descr="C:\Users\renhq\AppData\Roaming\Tencent\Users\1292685903\QQ\WinTemp\RichOle\7G[$_7[7072EVLCV_9PQH{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C:\Users\renhq\AppData\Roaming\Tencent\Users\1292685903\QQ\WinTemp\RichOle\7G[$_7[7072EVLCV_9PQH{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727" cy="19429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为了更好服务您进行投标，有变更时，您可以在如图位置收到变更提醒，点击提醒可自动定位到变更所在位置。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3.3.3变更清单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当招标清单有所变化时，采购方会通过变更清单的方式发布出来，变更后您可在下图位置收到变更待办。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266055" cy="1933575"/>
            <wp:effectExtent l="9525" t="9525" r="20320" b="19050"/>
            <wp:docPr id="62" name="图片 62" descr="C:\Users\renhq\AppData\Roaming\Tencent\Users\1292685903\QQ\WinTemp\RichOle\7G[$_7[7072EVLCV_9PQH{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C:\Users\renhq\AppData\Roaming\Tencent\Users\1292685903\QQ\WinTemp\RichOle\7G[$_7[7072EVLCV_9PQH{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1727" cy="19429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点击待办进入页面如下图，此时需要重新签收招标文件，签收方法同上文提到签收方法。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签收后，可在招标文件位置看到最新清单。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仔细查看最新清单后，切换到“投标文件”页签下，对变更后的清单进行报价。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此时可以看到，有清单变更的标包下，展示一行温馨提示，只对清单有变更的标包进行报价即可，无需全部标包重新报价。</w:t>
      </w:r>
    </w:p>
    <w:p>
      <w:pPr>
        <w:pStyle w:val="8"/>
        <w:ind w:left="0" w:leftChars="0" w:firstLine="0" w:firstLineChars="0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报价完成后点击【投标】即可完成最终报价。</w:t>
      </w:r>
    </w:p>
    <w:p>
      <w:pPr>
        <w:pStyle w:val="8"/>
        <w:ind w:left="0" w:leftChars="0" w:firstLine="0" w:firstLineChars="0"/>
        <w:rPr>
          <w:rFonts w:hint="default" w:ascii="微软雅黑" w:hAnsi="微软雅黑" w:eastAsia="微软雅黑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274310" cy="2625725"/>
            <wp:effectExtent l="9525" t="9525" r="12065" b="1270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1"/>
                    <a:srcRect t="1126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  <a:ln w="3175" cap="sq" cmpd="sng" algn="ctr">
                      <a:solidFill>
                        <a:srgbClr val="0000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4、招标答疑：当您对采购方发布招标文件有疑问时，可通过在线答疑提问，具体操作同报名阶段答疑，此处不再赘述。</w:t>
      </w:r>
    </w:p>
    <w:p>
      <w:pPr>
        <w:pStyle w:val="8"/>
        <w:ind w:left="0" w:leftChars="0" w:firstLine="0" w:firstLineChars="0"/>
        <w:rPr>
          <w:rFonts w:hint="default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0" distR="0">
            <wp:extent cx="5274310" cy="2412365"/>
            <wp:effectExtent l="9525" t="9525" r="1206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t="127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2365"/>
                    </a:xfrm>
                    <a:prstGeom prst="rect">
                      <a:avLst/>
                    </a:prstGeom>
                    <a:ln w="3175" cap="sq" cmpd="sng" algn="ctr">
                      <a:solidFill>
                        <a:srgbClr val="0000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rPr>
          <w:rFonts w:hint="default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5、中标结果：采购方发布（未）中标结果后，您可在下图位置查看本企业（未）中标结果。</w:t>
      </w:r>
    </w:p>
    <w:p>
      <w:pPr>
        <w:pStyle w:val="8"/>
        <w:ind w:left="0" w:leftChars="0" w:firstLine="0" w:firstLineChars="0"/>
        <w:rPr>
          <w:rFonts w:hint="default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ascii="微软雅黑" w:hAnsi="微软雅黑"/>
        </w:rPr>
        <w:drawing>
          <wp:inline distT="0" distB="0" distL="0" distR="0">
            <wp:extent cx="5274310" cy="2590165"/>
            <wp:effectExtent l="9525" t="9525" r="12065" b="1016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3"/>
                    <a:srcRect t="1226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  <a:ln w="3175" cap="sq" cmpd="sng" algn="ctr">
                      <a:solidFill>
                        <a:srgbClr val="0000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061066"/>
      <w:docPartObj>
        <w:docPartGallery w:val="autotext"/>
      </w:docPartObj>
    </w:sdtPr>
    <w:sdtContent>
      <w:sdt>
        <w:sdtPr>
          <w:id w:val="846752648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46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413D"/>
    <w:rsid w:val="097D5F64"/>
    <w:rsid w:val="0F9D7FD8"/>
    <w:rsid w:val="13312A51"/>
    <w:rsid w:val="1921285E"/>
    <w:rsid w:val="1C9468A6"/>
    <w:rsid w:val="1CA950F2"/>
    <w:rsid w:val="1CCB7989"/>
    <w:rsid w:val="1D2D7F0F"/>
    <w:rsid w:val="276D46C4"/>
    <w:rsid w:val="2836370A"/>
    <w:rsid w:val="29827451"/>
    <w:rsid w:val="2D0B00A2"/>
    <w:rsid w:val="3A0E7449"/>
    <w:rsid w:val="3F3224DA"/>
    <w:rsid w:val="40E37DD1"/>
    <w:rsid w:val="460962D3"/>
    <w:rsid w:val="50E148DB"/>
    <w:rsid w:val="561D1C60"/>
    <w:rsid w:val="56C063A7"/>
    <w:rsid w:val="56D467B6"/>
    <w:rsid w:val="5951186B"/>
    <w:rsid w:val="59A315E2"/>
    <w:rsid w:val="5BCE249F"/>
    <w:rsid w:val="5C3E08DB"/>
    <w:rsid w:val="614C6448"/>
    <w:rsid w:val="65CE5249"/>
    <w:rsid w:val="7420332C"/>
    <w:rsid w:val="7E6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2019-07-23T09:42:00Z</dcterms:created>
  <dc:creator>glodon</dc:creator>
  <cp:lastModifiedBy>1380115278</cp:lastModifiedBy>
  <dcterms:modified xsi:type="dcterms:W3CDTF">2019-10-24T11:44:08Z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